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ACC00"/>
    <w:tbl>
      <w:tblPr>
        <w:tblStyle w:val="4"/>
        <w:tblW w:w="131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2375"/>
        <w:gridCol w:w="7810"/>
        <w:gridCol w:w="2321"/>
      </w:tblGrid>
      <w:tr w14:paraId="6096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40" w:hRule="atLeast"/>
          <w:jc w:val="center"/>
        </w:trPr>
        <w:tc>
          <w:tcPr>
            <w:tcW w:w="13179" w:type="dxa"/>
            <w:gridSpan w:val="4"/>
            <w:tcBorders>
              <w:top w:val="nil"/>
              <w:left w:val="nil"/>
              <w:bottom w:val="nil"/>
              <w:right w:val="nil"/>
            </w:tcBorders>
            <w:noWrap w:val="0"/>
            <w:vAlign w:val="center"/>
          </w:tcPr>
          <w:p w14:paraId="5A388EE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征求意见修改汇总表</w:t>
            </w:r>
          </w:p>
        </w:tc>
      </w:tr>
      <w:tr w14:paraId="3AFD1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8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0DDB2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Nimbus Roman No9 L" w:cs="Times New Roman"/>
                <w:i w:val="0"/>
                <w:iCs w:val="0"/>
                <w:color w:val="000000"/>
                <w:sz w:val="28"/>
                <w:szCs w:val="28"/>
                <w:u w:val="none"/>
              </w:rPr>
            </w:pPr>
            <w:r>
              <w:rPr>
                <w:rStyle w:val="6"/>
                <w:rFonts w:hint="default" w:ascii="Times New Roman" w:hAnsi="Times New Roman" w:cs="Times New Roman"/>
                <w:lang w:val="en-US" w:eastAsia="zh-CN" w:bidi="ar"/>
              </w:rPr>
              <w:t>序号</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38A7E54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Nimbus Roman No9 L" w:cs="Times New Roman"/>
                <w:i w:val="0"/>
                <w:iCs w:val="0"/>
                <w:color w:val="000000"/>
                <w:sz w:val="28"/>
                <w:szCs w:val="28"/>
                <w:u w:val="none"/>
              </w:rPr>
            </w:pPr>
            <w:r>
              <w:rPr>
                <w:rStyle w:val="6"/>
                <w:rFonts w:hint="default" w:ascii="Times New Roman" w:hAnsi="Times New Roman" w:cs="Times New Roman"/>
                <w:lang w:val="en-US" w:eastAsia="zh-CN" w:bidi="ar"/>
              </w:rPr>
              <w:t>单位</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155CBDB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Nimbus Roman No9 L" w:cs="Times New Roman"/>
                <w:i w:val="0"/>
                <w:iCs w:val="0"/>
                <w:color w:val="000000"/>
                <w:sz w:val="28"/>
                <w:szCs w:val="28"/>
                <w:u w:val="none"/>
              </w:rPr>
            </w:pPr>
            <w:r>
              <w:rPr>
                <w:rStyle w:val="6"/>
                <w:rFonts w:hint="default" w:ascii="Times New Roman" w:hAnsi="Times New Roman" w:cs="Times New Roman"/>
                <w:lang w:val="en-US" w:eastAsia="zh-CN" w:bidi="ar"/>
              </w:rPr>
              <w:t>意见建议</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001F6F5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Nimbus Roman No9 L" w:cs="Times New Roman"/>
                <w:i w:val="0"/>
                <w:iCs w:val="0"/>
                <w:color w:val="000000"/>
                <w:sz w:val="28"/>
                <w:szCs w:val="28"/>
                <w:u w:val="none"/>
              </w:rPr>
            </w:pPr>
            <w:r>
              <w:rPr>
                <w:rStyle w:val="6"/>
                <w:rFonts w:hint="default" w:ascii="Times New Roman" w:hAnsi="Times New Roman" w:cs="Times New Roman"/>
                <w:lang w:val="en-US" w:eastAsia="zh-CN" w:bidi="ar"/>
              </w:rPr>
              <w:t>修改情况</w:t>
            </w:r>
          </w:p>
        </w:tc>
      </w:tr>
      <w:tr w14:paraId="24BA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4D812C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58EC66C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sz w:val="24"/>
                <w:szCs w:val="24"/>
                <w:u w:val="none"/>
              </w:rPr>
            </w:pPr>
            <w:r>
              <w:rPr>
                <w:rStyle w:val="7"/>
                <w:rFonts w:hint="default" w:ascii="Times New Roman" w:hAnsi="Times New Roman" w:eastAsia="仿宋_GB2312" w:cs="Times New Roman"/>
                <w:sz w:val="24"/>
                <w:szCs w:val="24"/>
                <w:lang w:val="en-US" w:eastAsia="zh-CN" w:bidi="ar"/>
              </w:rPr>
              <w:t>自治区农业农村厅</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4CA29048">
            <w:pPr>
              <w:keepNext w:val="0"/>
              <w:keepLines w:val="0"/>
              <w:pageBreakBefore w:val="0"/>
              <w:widowControl w:val="0"/>
              <w:suppressLineNumbers w:val="0"/>
              <w:kinsoku/>
              <w:wordWrap/>
              <w:overflowPunct/>
              <w:topLinePunct w:val="0"/>
              <w:bidi w:val="0"/>
              <w:jc w:val="both"/>
              <w:textAlignment w:val="center"/>
              <w:rPr>
                <w:rFonts w:hint="default" w:ascii="Times New Roman" w:hAnsi="Times New Roman" w:eastAsia="仿宋_GB2312" w:cs="Times New Roman"/>
                <w:i w:val="0"/>
                <w:iCs w:val="0"/>
                <w:color w:val="000000"/>
                <w:sz w:val="24"/>
                <w:szCs w:val="24"/>
                <w:u w:val="none"/>
                <w:lang w:eastAsia="zh-CN"/>
              </w:rPr>
            </w:pPr>
            <w:r>
              <w:rPr>
                <w:rStyle w:val="7"/>
                <w:rFonts w:hint="default" w:ascii="Times New Roman" w:hAnsi="Times New Roman" w:eastAsia="仿宋_GB2312" w:cs="Times New Roman"/>
                <w:sz w:val="24"/>
                <w:szCs w:val="24"/>
                <w:lang w:val="en-US" w:eastAsia="zh-CN" w:bidi="ar"/>
              </w:rPr>
              <w:t>农业农村部门在乡村建设领域的主要职责负责协调推进乡村建设行动，牵头组织改善农村人居环境、统筹指导村庄整治和村容村貌提升等工作，涉及乡村建设基础设施、公共服务建设的问题，应由相关行业部门在各自职责范围内具体负责和实施。</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2E7ABA95">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采纳</w:t>
            </w:r>
          </w:p>
        </w:tc>
      </w:tr>
      <w:tr w14:paraId="017C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193984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20E2F3CE">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自治区教育厅</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7107A867">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议将《条例》第十六条中学校内容修改为：所指“学校”，包括幼儿园、特殊教育学校、义务教育阶段（含小学、普通初中）、高中阶段（含中等职业学校、普通高中）、高等教育（含本科层次高等教育、专科层次高等教育）、成人高等教育。</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4D34A064">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w:t>
            </w:r>
            <w:r>
              <w:rPr>
                <w:rStyle w:val="7"/>
                <w:rFonts w:hint="default" w:ascii="Times New Roman" w:hAnsi="Times New Roman" w:eastAsia="仿宋_GB2312" w:cs="Times New Roman"/>
                <w:sz w:val="24"/>
                <w:szCs w:val="24"/>
                <w:lang w:val="en-US" w:eastAsia="zh-CN" w:bidi="ar"/>
              </w:rPr>
              <w:t>《条例》第十六条中“幼儿园”是与学校并列的，不需要纳入“学校”中，其它学校的分类内容都包括了并更符合建设部门习惯。</w:t>
            </w:r>
          </w:p>
        </w:tc>
      </w:tr>
      <w:tr w14:paraId="05FD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2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D9A5DC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4EAE8A27">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自治区地震局</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22C6A294">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《条例》第八条建议修改为：“（二）高烈度设防地区......,......,对新建（改建、扩建）有重大价值或者重大影响的建设工程，应当按照.......”</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5FB2A7E7">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cs="Times New Roman"/>
                <w:lang w:val="en-US" w:eastAsia="zh-CN" w:bidi="ar"/>
              </w:rPr>
            </w:pPr>
            <w:r>
              <w:rPr>
                <w:rStyle w:val="7"/>
                <w:rFonts w:hint="eastAsia" w:ascii="Times New Roman" w:hAnsi="Times New Roman" w:eastAsia="仿宋_GB2312" w:cs="Times New Roman"/>
                <w:sz w:val="24"/>
                <w:szCs w:val="24"/>
                <w:lang w:val="en-US" w:eastAsia="zh-CN" w:bidi="ar"/>
              </w:rPr>
              <w:t>采纳</w:t>
            </w:r>
          </w:p>
        </w:tc>
      </w:tr>
      <w:tr w14:paraId="3D58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restart"/>
            <w:tcBorders>
              <w:top w:val="single" w:color="000000" w:sz="4" w:space="0"/>
              <w:left w:val="single" w:color="000000" w:sz="4" w:space="0"/>
              <w:right w:val="single" w:color="000000" w:sz="4" w:space="0"/>
            </w:tcBorders>
            <w:noWrap w:val="0"/>
            <w:vAlign w:val="center"/>
          </w:tcPr>
          <w:p w14:paraId="054A23C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8E4F6">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自治区</w:t>
            </w:r>
            <w:r>
              <w:rPr>
                <w:rStyle w:val="7"/>
                <w:rFonts w:hint="eastAsia" w:ascii="Times New Roman" w:hAnsi="Times New Roman" w:eastAsia="仿宋_GB2312" w:cs="Times New Roman"/>
                <w:sz w:val="24"/>
                <w:szCs w:val="24"/>
                <w:lang w:val="en-US" w:eastAsia="zh-CN" w:bidi="ar"/>
              </w:rPr>
              <w:t>发展改革</w:t>
            </w:r>
            <w:r>
              <w:rPr>
                <w:rStyle w:val="7"/>
                <w:rFonts w:hint="default" w:ascii="Times New Roman" w:hAnsi="Times New Roman" w:eastAsia="仿宋_GB2312" w:cs="Times New Roman"/>
                <w:sz w:val="24"/>
                <w:szCs w:val="24"/>
                <w:lang w:val="en-US" w:eastAsia="zh-CN" w:bidi="ar"/>
              </w:rPr>
              <w:t>委</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0DCD0C15">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建议进一步明确《实施细则》与《关于加强自治区建设工程抗震管理的通知》之间的关系。</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58FB941E">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cs="Times New Roman"/>
                <w:lang w:val="en-US" w:eastAsia="zh-CN" w:bidi="ar"/>
              </w:rPr>
            </w:pPr>
            <w:r>
              <w:rPr>
                <w:rStyle w:val="7"/>
                <w:rFonts w:hint="eastAsia" w:ascii="Times New Roman" w:hAnsi="Times New Roman" w:eastAsia="仿宋_GB2312" w:cs="Times New Roman"/>
                <w:sz w:val="24"/>
                <w:szCs w:val="24"/>
                <w:lang w:val="en-US" w:eastAsia="zh-CN" w:bidi="ar"/>
              </w:rPr>
              <w:t>不采纳，理由：该内容已在住建厅官网公开发布的起草说明中说明关系，不应在本通知中再说明。</w:t>
            </w:r>
          </w:p>
        </w:tc>
      </w:tr>
      <w:tr w14:paraId="25A8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67" w:hRule="atLeast"/>
          <w:jc w:val="center"/>
        </w:trPr>
        <w:tc>
          <w:tcPr>
            <w:tcW w:w="673" w:type="dxa"/>
            <w:vMerge w:val="continue"/>
            <w:tcBorders>
              <w:left w:val="single" w:color="000000" w:sz="4" w:space="0"/>
              <w:bottom w:val="single" w:color="000000" w:sz="4" w:space="0"/>
              <w:right w:val="single" w:color="000000" w:sz="4" w:space="0"/>
            </w:tcBorders>
            <w:noWrap w:val="0"/>
            <w:vAlign w:val="center"/>
          </w:tcPr>
          <w:p w14:paraId="25C0181D">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6E793">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22B6F611">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建议将我委及相关单位从联合发文单位中删除，我委将按照分工抓好项目审批等相关工作。</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2BD49D60">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w:t>
            </w:r>
          </w:p>
        </w:tc>
      </w:tr>
      <w:tr w14:paraId="3907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56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EFF099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46AA210B">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自治区自然资源厅</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0B413AF0">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议将“关于《条例》第四章（一）县级人民政府审批乡镇和村庄规划以及农村村民集中居住区、宅基地规划时，应当避开地震地质灾害危险区......”修改为“五、关于《条例》第四章（一）县级人民政府在编制乡镇和村庄规划以及农村村民集中居住区、宅基地规划时，应当避开地震地质灾害危险区......”</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07B70F2E">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采纳</w:t>
            </w:r>
          </w:p>
        </w:tc>
      </w:tr>
      <w:tr w14:paraId="75C9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33"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8D0F3A8">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03F85526">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自治区卫生健康委</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0E0D8164">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议将关于《条例》第十六条（二）所指“医院”建筑，删除“尚应包括残疾人康复中心”因为自治区现有各级各类医院中，尚没有取得《医疗机构执业许可证》的专业从事残疾人康复的中心。如需增加建议征求自治区残联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6C37F007">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部分采纳，修改为“残疾人康复中心按照医院要求执行《条例》要求”。</w:t>
            </w:r>
          </w:p>
        </w:tc>
      </w:tr>
      <w:tr w14:paraId="4293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restart"/>
            <w:tcBorders>
              <w:top w:val="single" w:color="000000" w:sz="4" w:space="0"/>
              <w:left w:val="single" w:color="000000" w:sz="4" w:space="0"/>
              <w:right w:val="single" w:color="000000" w:sz="4" w:space="0"/>
            </w:tcBorders>
            <w:noWrap w:val="0"/>
            <w:vAlign w:val="center"/>
          </w:tcPr>
          <w:p w14:paraId="4EBC5E0C">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75" w:type="dxa"/>
            <w:vMerge w:val="restart"/>
            <w:tcBorders>
              <w:top w:val="single" w:color="000000" w:sz="4" w:space="0"/>
              <w:left w:val="single" w:color="000000" w:sz="4" w:space="0"/>
              <w:right w:val="single" w:color="000000" w:sz="4" w:space="0"/>
            </w:tcBorders>
            <w:noWrap w:val="0"/>
            <w:vAlign w:val="center"/>
          </w:tcPr>
          <w:p w14:paraId="06E10B58">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伊犁</w:t>
            </w:r>
            <w:r>
              <w:rPr>
                <w:rStyle w:val="7"/>
                <w:rFonts w:hint="default" w:ascii="Times New Roman" w:hAnsi="Times New Roman" w:eastAsia="仿宋_GB2312" w:cs="Times New Roman"/>
                <w:sz w:val="24"/>
                <w:szCs w:val="24"/>
                <w:lang w:val="en-US" w:eastAsia="zh-CN" w:bidi="ar"/>
              </w:rPr>
              <w:t>州住房和城乡</w:t>
            </w:r>
          </w:p>
          <w:p w14:paraId="562E6AEA">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建设局</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6BC35D28">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关于《条例》第十六条 （一）“学校”中“高等教育院校和各类成人教育院校”中应明确是否“含各类培训学校（如技工学校）、集中培训（基地）中心（如党校、职业培训（基地）中心）。”依据《民用建筑通用规范》GB55031-2022第2.1.4条及条文说明表1，教育建筑A-4“高等院校教育场所”中包含党校、干部学校、电视大学等。A-3“中等专业教育场所”中包含中等专业学校、技工学校、职业学校等。</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78BF9E07">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不采纳，理由：本文“学校”已列举全各类情况，“党校、非院校类培训学校”作为“各类成人教育院校”需要按教育性质的“学校”进行抗震设计。</w:t>
            </w:r>
          </w:p>
        </w:tc>
      </w:tr>
      <w:tr w14:paraId="0DD7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continue"/>
            <w:tcBorders>
              <w:left w:val="single" w:color="000000" w:sz="4" w:space="0"/>
              <w:right w:val="single" w:color="000000" w:sz="4" w:space="0"/>
            </w:tcBorders>
            <w:noWrap w:val="0"/>
            <w:vAlign w:val="center"/>
          </w:tcPr>
          <w:p w14:paraId="26C2DE5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left w:val="single" w:color="000000" w:sz="4" w:space="0"/>
              <w:right w:val="single" w:color="000000" w:sz="4" w:space="0"/>
            </w:tcBorders>
            <w:noWrap w:val="0"/>
            <w:vAlign w:val="center"/>
          </w:tcPr>
          <w:p w14:paraId="61309F1F">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693917FC">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关于《条例》第十六条（二）医院的附属用房中“设备用房”，明确是否含具有外科手术室或急诊科的卫生院中换热站、消防水池及消防泵房、医疗垃圾处理站、消控室与门卫合建等小单体建筑。</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38781E24">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不采纳，理由：本文“医院”已列举全各类情况。</w:t>
            </w:r>
          </w:p>
        </w:tc>
      </w:tr>
      <w:tr w14:paraId="5A44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continue"/>
            <w:tcBorders>
              <w:left w:val="single" w:color="000000" w:sz="4" w:space="0"/>
              <w:right w:val="single" w:color="000000" w:sz="4" w:space="0"/>
            </w:tcBorders>
            <w:noWrap w:val="0"/>
            <w:vAlign w:val="center"/>
          </w:tcPr>
          <w:p w14:paraId="1F77D33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left w:val="single" w:color="000000" w:sz="4" w:space="0"/>
              <w:right w:val="single" w:color="000000" w:sz="4" w:space="0"/>
            </w:tcBorders>
            <w:noWrap w:val="0"/>
            <w:vAlign w:val="center"/>
          </w:tcPr>
          <w:p w14:paraId="3A87D82D">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3AF3CA9F">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关于《条例》中“幼儿园”建筑，是否包括托育机构宜明确。</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27463FF5">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采纳</w:t>
            </w:r>
          </w:p>
        </w:tc>
      </w:tr>
      <w:tr w14:paraId="0BEC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continue"/>
            <w:tcBorders>
              <w:left w:val="single" w:color="000000" w:sz="4" w:space="0"/>
              <w:right w:val="single" w:color="000000" w:sz="4" w:space="0"/>
            </w:tcBorders>
            <w:noWrap w:val="0"/>
            <w:vAlign w:val="center"/>
          </w:tcPr>
          <w:p w14:paraId="5761A94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left w:val="single" w:color="000000" w:sz="4" w:space="0"/>
              <w:right w:val="single" w:color="000000" w:sz="4" w:space="0"/>
            </w:tcBorders>
            <w:noWrap w:val="0"/>
            <w:vAlign w:val="center"/>
          </w:tcPr>
          <w:p w14:paraId="5C7491E1">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667FBADB">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一般规则不超限结构（丙类）无需抗震性能化设计时，尤其8（0.3g）时近场效应放大系数是否偏大，可适当减小。</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03C2EEA7">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不采纳，理由：应严格执行《建筑抗震设计规范》。</w:t>
            </w:r>
          </w:p>
        </w:tc>
      </w:tr>
      <w:tr w14:paraId="6235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673" w:type="dxa"/>
            <w:vMerge w:val="restart"/>
            <w:tcBorders>
              <w:top w:val="single" w:color="000000" w:sz="4" w:space="0"/>
              <w:left w:val="single" w:color="000000" w:sz="4" w:space="0"/>
              <w:right w:val="single" w:color="000000" w:sz="4" w:space="0"/>
            </w:tcBorders>
            <w:noWrap w:val="0"/>
            <w:vAlign w:val="center"/>
          </w:tcPr>
          <w:p w14:paraId="113B0010">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8</w:t>
            </w:r>
          </w:p>
        </w:tc>
        <w:tc>
          <w:tcPr>
            <w:tcW w:w="2375" w:type="dxa"/>
            <w:vMerge w:val="restart"/>
            <w:tcBorders>
              <w:top w:val="single" w:color="000000" w:sz="4" w:space="0"/>
              <w:left w:val="single" w:color="000000" w:sz="4" w:space="0"/>
              <w:right w:val="single" w:color="000000" w:sz="4" w:space="0"/>
            </w:tcBorders>
            <w:noWrap w:val="0"/>
            <w:vAlign w:val="center"/>
          </w:tcPr>
          <w:p w14:paraId="306270C1">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博州住房和城乡</w:t>
            </w:r>
          </w:p>
          <w:p w14:paraId="445965AF">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建设局</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01F64802">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《条例》第十六条中“隔震减震等技术”的“等”字存在两种不同解读：第一种理解，认为“等”字涵盖常规抗震技术与减隔震以外的新型抗震技术，即只要建筑能够满足“本区域设防地震下正常使用”的</w:t>
            </w:r>
            <w:bookmarkStart w:id="0" w:name="_GoBack"/>
            <w:bookmarkEnd w:id="0"/>
            <w:r>
              <w:rPr>
                <w:rStyle w:val="7"/>
                <w:rFonts w:hint="default" w:ascii="Times New Roman" w:hAnsi="Times New Roman" w:eastAsia="仿宋_GB2312" w:cs="Times New Roman"/>
                <w:sz w:val="24"/>
                <w:szCs w:val="24"/>
                <w:lang w:val="en-US" w:eastAsia="zh-CN" w:bidi="ar"/>
              </w:rPr>
              <w:t>要求，并非强制采用减隔震技术，可通过优化常规抗震设计和应用其他合规抗震技术实现；第二种理解，认为“等”字仅指向减隔震技术以外的新型抗震技术（如可滑动基础、悬挂悬浮结构等创新技术），不包括传统常规抗震技术，即此类建筑需优先采用减隔震技术或上述新型抗震技术，常规抗震技术不符合该条款要求。</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222A2BF8">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不采纳，理由：已印发的《新疆维吾尔自治区建筑工程隔震减震技术应用管理办法》是按照第一种解读，多年来各地实施良好。</w:t>
            </w:r>
          </w:p>
        </w:tc>
      </w:tr>
      <w:tr w14:paraId="4937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429" w:hRule="atLeast"/>
          <w:jc w:val="center"/>
        </w:trPr>
        <w:tc>
          <w:tcPr>
            <w:tcW w:w="673" w:type="dxa"/>
            <w:vMerge w:val="continue"/>
            <w:tcBorders>
              <w:left w:val="single" w:color="000000" w:sz="4" w:space="0"/>
              <w:bottom w:val="single" w:color="000000" w:sz="4" w:space="0"/>
              <w:right w:val="single" w:color="000000" w:sz="4" w:space="0"/>
            </w:tcBorders>
            <w:noWrap w:val="0"/>
            <w:vAlign w:val="center"/>
          </w:tcPr>
          <w:p w14:paraId="0A04CD7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sz w:val="24"/>
                <w:szCs w:val="24"/>
                <w:u w:val="none"/>
              </w:rPr>
            </w:pPr>
          </w:p>
        </w:tc>
        <w:tc>
          <w:tcPr>
            <w:tcW w:w="2375" w:type="dxa"/>
            <w:vMerge w:val="continue"/>
            <w:tcBorders>
              <w:left w:val="single" w:color="000000" w:sz="4" w:space="0"/>
              <w:bottom w:val="single" w:color="000000" w:sz="4" w:space="0"/>
              <w:right w:val="single" w:color="000000" w:sz="4" w:space="0"/>
            </w:tcBorders>
            <w:noWrap w:val="0"/>
            <w:vAlign w:val="center"/>
          </w:tcPr>
          <w:p w14:paraId="62407E78">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0C8E5FF1">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条例》第十六条存在理解与执行差异。社区配套养老服务用房：对于在普通社区建筑中按规划局部设置的养老服务用房（如社区日间照料中心），是否需参照养老院、养老机构的抗震设防标准采用隔震减震等技术，目前缺乏明确界定；非重点类乡镇卫生院及专科医院：对于“不具有外科手术室或急诊科的乡镇卫生院”“专科医院（如牙科医院、康复医院等非急救类专科医院）”，此类建筑虽属于标准设防类，但是否需按《条例》第十六条要求采用隔震减震等技术，各地执行口径尚不统一。</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6BBCC9B9">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不采纳，理由：住建厅文件是为了解决这些模糊问题，现在准备发布的文件已经清楚地回复了上述疑问。</w:t>
            </w:r>
          </w:p>
        </w:tc>
      </w:tr>
      <w:tr w14:paraId="49A8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vMerge w:val="restart"/>
            <w:tcBorders>
              <w:top w:val="single" w:color="000000" w:sz="4" w:space="0"/>
              <w:left w:val="single" w:color="000000" w:sz="4" w:space="0"/>
              <w:right w:val="single" w:color="000000" w:sz="4" w:space="0"/>
            </w:tcBorders>
            <w:noWrap w:val="0"/>
            <w:vAlign w:val="center"/>
          </w:tcPr>
          <w:p w14:paraId="3386245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75" w:type="dxa"/>
            <w:vMerge w:val="restart"/>
            <w:tcBorders>
              <w:top w:val="single" w:color="000000" w:sz="4" w:space="0"/>
              <w:left w:val="single" w:color="000000" w:sz="4" w:space="0"/>
              <w:right w:val="single" w:color="000000" w:sz="4" w:space="0"/>
            </w:tcBorders>
            <w:noWrap w:val="0"/>
            <w:vAlign w:val="center"/>
          </w:tcPr>
          <w:p w14:paraId="7061A442">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阿克苏地区</w:t>
            </w:r>
          </w:p>
          <w:p w14:paraId="02F011AE">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住房和城乡建设局</w:t>
            </w: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270EEC1B">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第十一条“地震峰值加速度应乘以近场效应放大系数，发震断裂两侧5km以内宜乘以1.5,5km以外10km以内宜乘以1.25”之规定，对于高烈度地区要求发生设防地震时能够满足正常使用的建筑，按照上述放大系数设计困难较大，建议参照《基于保持建筑正常使用功能的抗震技术导则》第4.1.1条之规定，高烈度地区要求发生设防地震时能够满足正常使用的建筑按照发震断裂两侧5km以内宜乘以1.25,5km以外10km以内宜乘以1.15的标准执行。</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4510A993">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基于保持建筑正常使用功能的抗震技术导则》是对采用减隔震技术建筑的要求，按中震设计，抗震性能目标比较高，所以采用低一点的系数；对于普通建筑，按小震设计，抗震要求低于按中震设计要求，所以系数要高一些；有特殊情况时，另行特殊处理。</w:t>
            </w:r>
          </w:p>
        </w:tc>
      </w:tr>
      <w:tr w14:paraId="318D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vMerge w:val="continue"/>
            <w:tcBorders>
              <w:left w:val="single" w:color="000000" w:sz="4" w:space="0"/>
              <w:right w:val="single" w:color="000000" w:sz="4" w:space="0"/>
            </w:tcBorders>
            <w:noWrap w:val="0"/>
            <w:vAlign w:val="center"/>
          </w:tcPr>
          <w:p w14:paraId="0A39E8E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left w:val="single" w:color="000000" w:sz="4" w:space="0"/>
              <w:right w:val="single" w:color="000000" w:sz="4" w:space="0"/>
            </w:tcBorders>
            <w:noWrap w:val="0"/>
            <w:vAlign w:val="center"/>
          </w:tcPr>
          <w:p w14:paraId="16C4A919">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68340F42">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关于《条例》第十六条：其中第一款中关于“学校”的界定，建议明确是否包含“党校、非院校类培训学校”；关于学校“建筑”的界定，建议明确是否包含“行政办公室”。</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3ED40EFB">
            <w:pPr>
              <w:keepNext w:val="0"/>
              <w:keepLines w:val="0"/>
              <w:pageBreakBefore w:val="0"/>
              <w:widowControl w:val="0"/>
              <w:suppressLineNumbers w:val="0"/>
              <w:kinsoku/>
              <w:wordWrap/>
              <w:overflowPunct/>
              <w:topLinePunct w:val="0"/>
              <w:bidi w:val="0"/>
              <w:jc w:val="both"/>
              <w:textAlignment w:val="center"/>
              <w:rPr>
                <w:rFonts w:hint="default" w:ascii="Times New Roman" w:hAnsi="Times New Roman" w:eastAsia="Nimbus Roman No9 L" w:cs="Times New Roman"/>
                <w:i w:val="0"/>
                <w:iCs w:val="0"/>
                <w:color w:val="000000"/>
                <w:sz w:val="22"/>
                <w:szCs w:val="22"/>
                <w:u w:val="none"/>
                <w:lang w:val="en-US" w:eastAsia="zh-CN"/>
              </w:rPr>
            </w:pPr>
            <w:r>
              <w:rPr>
                <w:rStyle w:val="7"/>
                <w:rFonts w:hint="eastAsia" w:ascii="Times New Roman" w:hAnsi="Times New Roman" w:eastAsia="仿宋_GB2312" w:cs="Times New Roman"/>
                <w:sz w:val="24"/>
                <w:szCs w:val="24"/>
                <w:lang w:val="en-US" w:eastAsia="zh-CN" w:bidi="ar"/>
              </w:rPr>
              <w:t>不采纳，理由：“学校”已列全各类情况，“党校、非院校类培训学校”作为“各类成人教育院校”需要按教育性质的“学校”进行抗震设计，未列入的“行政办公室”不按教育性质的“学校”要求抗震设计。</w:t>
            </w:r>
          </w:p>
        </w:tc>
      </w:tr>
      <w:tr w14:paraId="6FA8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vMerge w:val="continue"/>
            <w:tcBorders>
              <w:left w:val="single" w:color="000000" w:sz="4" w:space="0"/>
              <w:bottom w:val="single" w:color="000000" w:sz="4" w:space="0"/>
              <w:right w:val="single" w:color="000000" w:sz="4" w:space="0"/>
            </w:tcBorders>
            <w:noWrap w:val="0"/>
            <w:vAlign w:val="center"/>
          </w:tcPr>
          <w:p w14:paraId="7ED947D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2375" w:type="dxa"/>
            <w:vMerge w:val="continue"/>
            <w:tcBorders>
              <w:left w:val="single" w:color="000000" w:sz="4" w:space="0"/>
              <w:bottom w:val="single" w:color="000000" w:sz="4" w:space="0"/>
              <w:right w:val="single" w:color="000000" w:sz="4" w:space="0"/>
            </w:tcBorders>
            <w:noWrap w:val="0"/>
            <w:vAlign w:val="center"/>
          </w:tcPr>
          <w:p w14:paraId="09BA918E">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p>
        </w:tc>
        <w:tc>
          <w:tcPr>
            <w:tcW w:w="7810" w:type="dxa"/>
            <w:tcBorders>
              <w:top w:val="single" w:color="000000" w:sz="4" w:space="0"/>
              <w:left w:val="single" w:color="000000" w:sz="4" w:space="0"/>
              <w:bottom w:val="single" w:color="000000" w:sz="4" w:space="0"/>
              <w:right w:val="single" w:color="000000" w:sz="4" w:space="0"/>
            </w:tcBorders>
            <w:noWrap w:val="0"/>
            <w:vAlign w:val="center"/>
          </w:tcPr>
          <w:p w14:paraId="419BB490">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关于《条例》第二十一条：根据《既有建筑鉴定与加固通用规范》第5.1.4条及第5.3.2条等规定，既有房屋抗震鉴定及加固允许根据后续工作年限和建筑分类进行地震影响系数折减，对加固方案设计具有重要指导作用，故建议本条中增加《既有建筑鉴定与加固通用规范》作为加固方案设计中确定地震影响系数的依据。</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6C7863DF">
            <w:pPr>
              <w:keepNext w:val="0"/>
              <w:keepLines w:val="0"/>
              <w:pageBreakBefore w:val="0"/>
              <w:widowControl w:val="0"/>
              <w:suppressLineNumbers w:val="0"/>
              <w:kinsoku/>
              <w:wordWrap/>
              <w:overflowPunct/>
              <w:topLinePunct w:val="0"/>
              <w:bidi w:val="0"/>
              <w:jc w:val="both"/>
              <w:textAlignment w:val="center"/>
              <w:rPr>
                <w:rStyle w:val="7"/>
                <w:rFonts w:hint="default" w:ascii="Times New Roman" w:hAnsi="Times New Roman" w:eastAsia="仿宋_GB2312" w:cs="Times New Roman"/>
                <w:sz w:val="24"/>
                <w:szCs w:val="24"/>
                <w:lang w:val="en-US" w:eastAsia="zh-CN" w:bidi="ar"/>
              </w:rPr>
            </w:pPr>
            <w:r>
              <w:rPr>
                <w:rStyle w:val="7"/>
                <w:rFonts w:hint="eastAsia" w:ascii="Times New Roman" w:hAnsi="Times New Roman" w:eastAsia="仿宋_GB2312" w:cs="Times New Roman"/>
                <w:sz w:val="24"/>
                <w:szCs w:val="24"/>
                <w:lang w:val="en-US" w:eastAsia="zh-CN" w:bidi="ar"/>
              </w:rPr>
              <w:t>不采纳，理由：本文与执行《既有建筑鉴定与加固通用规范》不冲突。</w:t>
            </w:r>
          </w:p>
        </w:tc>
      </w:tr>
      <w:tr w14:paraId="3E3A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auto" w:sz="4" w:space="0"/>
              <w:right w:val="single" w:color="000000" w:sz="4" w:space="0"/>
            </w:tcBorders>
            <w:noWrap w:val="0"/>
            <w:vAlign w:val="center"/>
          </w:tcPr>
          <w:p w14:paraId="6765C999">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2CADB0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自治区民政厅</w:t>
            </w:r>
          </w:p>
        </w:tc>
        <w:tc>
          <w:tcPr>
            <w:tcW w:w="781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849935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495435BF">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Nimbus Roman No9 L" w:cs="Times New Roman"/>
                <w:i w:val="0"/>
                <w:iCs w:val="0"/>
                <w:color w:val="000000"/>
                <w:sz w:val="22"/>
                <w:szCs w:val="22"/>
                <w:u w:val="none"/>
                <w:lang w:eastAsia="zh-CN"/>
              </w:rPr>
            </w:pPr>
            <w:r>
              <w:rPr>
                <w:rFonts w:hint="eastAsia" w:ascii="Times New Roman" w:hAnsi="Times New Roman" w:eastAsia="Nimbus Roman No9 L" w:cs="Times New Roman"/>
                <w:i w:val="0"/>
                <w:iCs w:val="0"/>
                <w:color w:val="000000"/>
                <w:sz w:val="22"/>
                <w:szCs w:val="22"/>
                <w:u w:val="none"/>
                <w:lang w:eastAsia="zh-CN"/>
              </w:rPr>
              <w:t>—</w:t>
            </w:r>
          </w:p>
        </w:tc>
      </w:tr>
      <w:tr w14:paraId="7F35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auto" w:sz="4" w:space="0"/>
              <w:right w:val="single" w:color="000000" w:sz="4" w:space="0"/>
            </w:tcBorders>
            <w:noWrap w:val="0"/>
            <w:vAlign w:val="center"/>
          </w:tcPr>
          <w:p w14:paraId="607E06F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5C2E278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自治区应急管理厅</w:t>
            </w:r>
          </w:p>
        </w:tc>
        <w:tc>
          <w:tcPr>
            <w:tcW w:w="781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37A6CD6A">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7757B75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22"/>
                <w:szCs w:val="22"/>
                <w:u w:val="none"/>
              </w:rPr>
            </w:pPr>
            <w:r>
              <w:rPr>
                <w:rFonts w:hint="eastAsia" w:ascii="Times New Roman" w:hAnsi="Times New Roman" w:eastAsia="Nimbus Roman No9 L" w:cs="Times New Roman"/>
                <w:i w:val="0"/>
                <w:iCs w:val="0"/>
                <w:color w:val="000000"/>
                <w:sz w:val="22"/>
                <w:szCs w:val="22"/>
                <w:u w:val="none"/>
                <w:lang w:eastAsia="zh-CN"/>
              </w:rPr>
              <w:t>—</w:t>
            </w:r>
          </w:p>
        </w:tc>
      </w:tr>
      <w:tr w14:paraId="749C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auto" w:sz="4" w:space="0"/>
              <w:right w:val="single" w:color="000000" w:sz="4" w:space="0"/>
            </w:tcBorders>
            <w:noWrap w:val="0"/>
            <w:vAlign w:val="center"/>
          </w:tcPr>
          <w:p w14:paraId="7C9A0E7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01AAA4FD">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塔城地区住房和</w:t>
            </w:r>
          </w:p>
          <w:p w14:paraId="52C9060E">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城乡建设局</w:t>
            </w:r>
          </w:p>
        </w:tc>
        <w:tc>
          <w:tcPr>
            <w:tcW w:w="781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1AF9B654">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26988AB2">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22"/>
                <w:szCs w:val="22"/>
                <w:u w:val="none"/>
              </w:rPr>
            </w:pPr>
            <w:r>
              <w:rPr>
                <w:rFonts w:hint="eastAsia" w:ascii="Times New Roman" w:hAnsi="Times New Roman" w:eastAsia="Nimbus Roman No9 L" w:cs="Times New Roman"/>
                <w:i w:val="0"/>
                <w:iCs w:val="0"/>
                <w:color w:val="000000"/>
                <w:sz w:val="22"/>
                <w:szCs w:val="22"/>
                <w:u w:val="none"/>
                <w:lang w:eastAsia="zh-CN"/>
              </w:rPr>
              <w:t>—</w:t>
            </w:r>
          </w:p>
        </w:tc>
      </w:tr>
      <w:tr w14:paraId="7593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auto" w:sz="4" w:space="0"/>
              <w:right w:val="single" w:color="000000" w:sz="4" w:space="0"/>
            </w:tcBorders>
            <w:noWrap w:val="0"/>
            <w:vAlign w:val="center"/>
          </w:tcPr>
          <w:p w14:paraId="7D219E0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75"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6782B1B6">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吐鲁番市住房和</w:t>
            </w:r>
          </w:p>
          <w:p w14:paraId="22FDB356">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城乡建设局</w:t>
            </w:r>
          </w:p>
        </w:tc>
        <w:tc>
          <w:tcPr>
            <w:tcW w:w="7810" w:type="dxa"/>
            <w:tcBorders>
              <w:top w:val="single" w:color="auto" w:sz="4" w:space="0"/>
              <w:left w:val="single" w:color="000000" w:sz="4" w:space="0"/>
              <w:bottom w:val="single" w:color="auto" w:sz="4" w:space="0"/>
              <w:right w:val="single" w:color="000000" w:sz="4" w:space="0"/>
            </w:tcBorders>
            <w:shd w:val="clear" w:color="auto" w:fill="auto"/>
            <w:noWrap w:val="0"/>
            <w:vAlign w:val="center"/>
          </w:tcPr>
          <w:p w14:paraId="7037365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color w:val="000000"/>
                <w:kern w:val="2"/>
                <w:sz w:val="24"/>
                <w:szCs w:val="24"/>
                <w:u w:val="none"/>
                <w:lang w:val="en-US" w:eastAsia="zh-CN" w:bidi="ar"/>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32A2F2F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22"/>
                <w:szCs w:val="22"/>
                <w:u w:val="none"/>
              </w:rPr>
            </w:pPr>
            <w:r>
              <w:rPr>
                <w:rFonts w:hint="eastAsia" w:ascii="Times New Roman" w:hAnsi="Times New Roman" w:eastAsia="Nimbus Roman No9 L" w:cs="Times New Roman"/>
                <w:i w:val="0"/>
                <w:iCs w:val="0"/>
                <w:color w:val="000000"/>
                <w:sz w:val="22"/>
                <w:szCs w:val="22"/>
                <w:u w:val="none"/>
                <w:lang w:eastAsia="zh-CN"/>
              </w:rPr>
              <w:t>—</w:t>
            </w:r>
          </w:p>
        </w:tc>
      </w:tr>
      <w:tr w14:paraId="4ADB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auto" w:sz="4" w:space="0"/>
              <w:right w:val="single" w:color="000000" w:sz="4" w:space="0"/>
            </w:tcBorders>
            <w:noWrap w:val="0"/>
            <w:vAlign w:val="center"/>
          </w:tcPr>
          <w:p w14:paraId="46B072A3">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75" w:type="dxa"/>
            <w:tcBorders>
              <w:top w:val="single" w:color="auto" w:sz="4" w:space="0"/>
              <w:left w:val="single" w:color="000000" w:sz="4" w:space="0"/>
              <w:bottom w:val="single" w:color="auto" w:sz="4" w:space="0"/>
              <w:right w:val="single" w:color="000000" w:sz="4" w:space="0"/>
            </w:tcBorders>
            <w:noWrap w:val="0"/>
            <w:vAlign w:val="center"/>
          </w:tcPr>
          <w:p w14:paraId="18E56A7B">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昌吉州住房和城乡</w:t>
            </w:r>
          </w:p>
          <w:p w14:paraId="050664C0">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建设局</w:t>
            </w:r>
          </w:p>
        </w:tc>
        <w:tc>
          <w:tcPr>
            <w:tcW w:w="7810" w:type="dxa"/>
            <w:tcBorders>
              <w:top w:val="single" w:color="auto" w:sz="4" w:space="0"/>
              <w:left w:val="single" w:color="000000" w:sz="4" w:space="0"/>
              <w:bottom w:val="single" w:color="auto" w:sz="4" w:space="0"/>
              <w:right w:val="single" w:color="000000" w:sz="4" w:space="0"/>
            </w:tcBorders>
            <w:noWrap w:val="0"/>
            <w:vAlign w:val="center"/>
          </w:tcPr>
          <w:p w14:paraId="135808E4">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7047CAD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22"/>
                <w:szCs w:val="22"/>
                <w:u w:val="none"/>
              </w:rPr>
            </w:pPr>
            <w:r>
              <w:rPr>
                <w:rFonts w:hint="eastAsia" w:ascii="Times New Roman" w:hAnsi="Times New Roman" w:eastAsia="Nimbus Roman No9 L" w:cs="Times New Roman"/>
                <w:i w:val="0"/>
                <w:iCs w:val="0"/>
                <w:color w:val="000000"/>
                <w:sz w:val="22"/>
                <w:szCs w:val="22"/>
                <w:u w:val="none"/>
                <w:lang w:eastAsia="zh-CN"/>
              </w:rPr>
              <w:t>—</w:t>
            </w:r>
          </w:p>
        </w:tc>
      </w:tr>
      <w:tr w14:paraId="6D19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80" w:hRule="atLeast"/>
          <w:jc w:val="center"/>
        </w:trPr>
        <w:tc>
          <w:tcPr>
            <w:tcW w:w="673" w:type="dxa"/>
            <w:tcBorders>
              <w:top w:val="single" w:color="auto" w:sz="4" w:space="0"/>
              <w:left w:val="single" w:color="000000" w:sz="4" w:space="0"/>
              <w:bottom w:val="single" w:color="000000" w:sz="4" w:space="0"/>
              <w:right w:val="single" w:color="000000" w:sz="4" w:space="0"/>
            </w:tcBorders>
            <w:noWrap w:val="0"/>
            <w:vAlign w:val="center"/>
          </w:tcPr>
          <w:p w14:paraId="06D50535">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37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245A9C07">
            <w:pPr>
              <w:keepNext w:val="0"/>
              <w:keepLines w:val="0"/>
              <w:pageBreakBefore w:val="0"/>
              <w:widowControl w:val="0"/>
              <w:suppressLineNumbers w:val="0"/>
              <w:kinsoku/>
              <w:wordWrap/>
              <w:overflowPunct/>
              <w:topLinePunct w:val="0"/>
              <w:bidi w:val="0"/>
              <w:jc w:val="center"/>
              <w:textAlignment w:val="center"/>
              <w:rPr>
                <w:rStyle w:val="7"/>
                <w:rFonts w:hint="default" w:ascii="Times New Roman" w:hAnsi="Times New Roman" w:eastAsia="仿宋_GB2312" w:cs="Times New Roman"/>
                <w:sz w:val="24"/>
                <w:szCs w:val="24"/>
                <w:lang w:val="en-US" w:eastAsia="zh-CN" w:bidi="ar"/>
              </w:rPr>
            </w:pPr>
            <w:r>
              <w:rPr>
                <w:rStyle w:val="7"/>
                <w:rFonts w:hint="default" w:ascii="Times New Roman" w:hAnsi="Times New Roman" w:eastAsia="仿宋_GB2312" w:cs="Times New Roman"/>
                <w:sz w:val="24"/>
                <w:szCs w:val="24"/>
                <w:lang w:val="en-US" w:eastAsia="zh-CN" w:bidi="ar"/>
              </w:rPr>
              <w:t>克拉玛依市住房和</w:t>
            </w:r>
          </w:p>
          <w:p w14:paraId="27D0F267">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Style w:val="7"/>
                <w:rFonts w:hint="default" w:ascii="Times New Roman" w:hAnsi="Times New Roman" w:eastAsia="仿宋_GB2312" w:cs="Times New Roman"/>
                <w:sz w:val="24"/>
                <w:szCs w:val="24"/>
                <w:lang w:val="en-US" w:eastAsia="zh-CN" w:bidi="ar"/>
              </w:rPr>
              <w:t>城乡建设局</w:t>
            </w:r>
          </w:p>
        </w:tc>
        <w:tc>
          <w:tcPr>
            <w:tcW w:w="781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6E2A79F">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Style w:val="7"/>
                <w:rFonts w:hint="default" w:ascii="Times New Roman" w:hAnsi="Times New Roman" w:eastAsia="仿宋_GB2312" w:cs="Times New Roman"/>
                <w:sz w:val="24"/>
                <w:szCs w:val="24"/>
                <w:lang w:val="en-US" w:eastAsia="zh-CN" w:bidi="ar"/>
              </w:rPr>
              <w:t>无意见</w:t>
            </w:r>
          </w:p>
        </w:tc>
        <w:tc>
          <w:tcPr>
            <w:tcW w:w="2321" w:type="dxa"/>
            <w:tcBorders>
              <w:top w:val="single" w:color="000000" w:sz="4" w:space="0"/>
              <w:left w:val="single" w:color="000000" w:sz="4" w:space="0"/>
              <w:bottom w:val="single" w:color="000000" w:sz="4" w:space="0"/>
              <w:right w:val="single" w:color="000000" w:sz="4" w:space="0"/>
            </w:tcBorders>
            <w:noWrap w:val="0"/>
            <w:vAlign w:val="center"/>
          </w:tcPr>
          <w:p w14:paraId="42789D91">
            <w:pPr>
              <w:keepNext w:val="0"/>
              <w:keepLines w:val="0"/>
              <w:pageBreakBefore w:val="0"/>
              <w:widowControl w:val="0"/>
              <w:suppressLineNumbers w:val="0"/>
              <w:kinsoku/>
              <w:wordWrap/>
              <w:overflowPunct/>
              <w:topLinePunct w:val="0"/>
              <w:bidi w:val="0"/>
              <w:jc w:val="center"/>
              <w:textAlignment w:val="center"/>
              <w:rPr>
                <w:rFonts w:hint="default" w:ascii="Times New Roman" w:hAnsi="Times New Roman" w:eastAsia="Nimbus Roman No9 L" w:cs="Times New Roman"/>
                <w:i w:val="0"/>
                <w:iCs w:val="0"/>
                <w:color w:val="000000"/>
                <w:sz w:val="22"/>
                <w:szCs w:val="22"/>
                <w:u w:val="none"/>
              </w:rPr>
            </w:pPr>
            <w:r>
              <w:rPr>
                <w:rFonts w:hint="eastAsia" w:ascii="Times New Roman" w:hAnsi="Times New Roman" w:eastAsia="Nimbus Roman No9 L" w:cs="Times New Roman"/>
                <w:i w:val="0"/>
                <w:iCs w:val="0"/>
                <w:color w:val="000000"/>
                <w:sz w:val="22"/>
                <w:szCs w:val="22"/>
                <w:u w:val="none"/>
                <w:lang w:eastAsia="zh-CN"/>
              </w:rPr>
              <w:t>—</w:t>
            </w:r>
          </w:p>
        </w:tc>
      </w:tr>
    </w:tbl>
    <w:p w14:paraId="0598CC9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B6A65"/>
    <w:rsid w:val="079578EB"/>
    <w:rsid w:val="09031D95"/>
    <w:rsid w:val="0967108D"/>
    <w:rsid w:val="0DB35E5E"/>
    <w:rsid w:val="0DBE1C14"/>
    <w:rsid w:val="0F38073B"/>
    <w:rsid w:val="0F581F74"/>
    <w:rsid w:val="1360114E"/>
    <w:rsid w:val="14CE4563"/>
    <w:rsid w:val="15FE458D"/>
    <w:rsid w:val="16A25036"/>
    <w:rsid w:val="17953714"/>
    <w:rsid w:val="18F86C0B"/>
    <w:rsid w:val="195E31F2"/>
    <w:rsid w:val="1A6B4094"/>
    <w:rsid w:val="1BC42F01"/>
    <w:rsid w:val="1C2F3C85"/>
    <w:rsid w:val="1E1331A6"/>
    <w:rsid w:val="1ED146E2"/>
    <w:rsid w:val="21352D06"/>
    <w:rsid w:val="21E85124"/>
    <w:rsid w:val="21F1488A"/>
    <w:rsid w:val="22A85649"/>
    <w:rsid w:val="24601679"/>
    <w:rsid w:val="272917B0"/>
    <w:rsid w:val="28CF1C92"/>
    <w:rsid w:val="29CC1042"/>
    <w:rsid w:val="2AC375D4"/>
    <w:rsid w:val="2B0623D8"/>
    <w:rsid w:val="2ED851CE"/>
    <w:rsid w:val="2EF20488"/>
    <w:rsid w:val="2FA7273E"/>
    <w:rsid w:val="2FEB6A65"/>
    <w:rsid w:val="39AC2D89"/>
    <w:rsid w:val="3A7909FE"/>
    <w:rsid w:val="3C391AE3"/>
    <w:rsid w:val="3DAC573E"/>
    <w:rsid w:val="3FAB535E"/>
    <w:rsid w:val="40C50B0E"/>
    <w:rsid w:val="41C406F1"/>
    <w:rsid w:val="450B2EEB"/>
    <w:rsid w:val="463D7C0A"/>
    <w:rsid w:val="46407480"/>
    <w:rsid w:val="4646629A"/>
    <w:rsid w:val="46DC75FC"/>
    <w:rsid w:val="4B272405"/>
    <w:rsid w:val="50283BFC"/>
    <w:rsid w:val="51501312"/>
    <w:rsid w:val="54BC37AA"/>
    <w:rsid w:val="56230907"/>
    <w:rsid w:val="565C617D"/>
    <w:rsid w:val="5A4D56CC"/>
    <w:rsid w:val="5A947624"/>
    <w:rsid w:val="5AB45E6F"/>
    <w:rsid w:val="5CE43E71"/>
    <w:rsid w:val="5D865F7C"/>
    <w:rsid w:val="60695F4D"/>
    <w:rsid w:val="61D17D64"/>
    <w:rsid w:val="64993265"/>
    <w:rsid w:val="64F12392"/>
    <w:rsid w:val="662F1E12"/>
    <w:rsid w:val="688A3AB8"/>
    <w:rsid w:val="689046D1"/>
    <w:rsid w:val="6EA25AAD"/>
    <w:rsid w:val="6F0E32A4"/>
    <w:rsid w:val="6F1A0938"/>
    <w:rsid w:val="6F42734D"/>
    <w:rsid w:val="713728FD"/>
    <w:rsid w:val="7189649E"/>
    <w:rsid w:val="73171838"/>
    <w:rsid w:val="75E46F54"/>
    <w:rsid w:val="77B707C9"/>
    <w:rsid w:val="78F458A4"/>
    <w:rsid w:val="7EB64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ind w:left="288"/>
      <w:jc w:val="left"/>
    </w:pPr>
    <w:rPr>
      <w:kern w:val="0"/>
      <w:sz w:val="28"/>
      <w:szCs w:val="28"/>
    </w:rPr>
  </w:style>
  <w:style w:type="paragraph" w:styleId="3">
    <w:name w:val="Body Text First Indent"/>
    <w:basedOn w:val="2"/>
    <w:next w:val="2"/>
    <w:qFormat/>
    <w:uiPriority w:val="0"/>
    <w:pPr>
      <w:spacing w:after="120"/>
      <w:ind w:firstLine="420" w:firstLineChars="100"/>
    </w:pPr>
    <w:rPr>
      <w:sz w:val="30"/>
    </w:rPr>
  </w:style>
  <w:style w:type="character" w:customStyle="1" w:styleId="6">
    <w:name w:val="font61"/>
    <w:basedOn w:val="5"/>
    <w:qFormat/>
    <w:uiPriority w:val="0"/>
    <w:rPr>
      <w:rFonts w:ascii="黑体" w:hAnsi="宋体" w:eastAsia="黑体" w:cs="黑体"/>
      <w:color w:val="000000"/>
      <w:sz w:val="28"/>
      <w:szCs w:val="28"/>
      <w:u w:val="none"/>
    </w:rPr>
  </w:style>
  <w:style w:type="character" w:customStyle="1" w:styleId="7">
    <w:name w:val="font41"/>
    <w:basedOn w:val="5"/>
    <w:qFormat/>
    <w:uiPriority w:val="0"/>
    <w:rPr>
      <w:rFonts w:ascii="仿宋_GB2312" w:eastAsia="仿宋_GB2312" w:cs="仿宋_GB2312"/>
      <w:color w:val="000000"/>
      <w:sz w:val="22"/>
      <w:szCs w:val="22"/>
      <w:u w:val="none"/>
    </w:rPr>
  </w:style>
  <w:style w:type="character" w:customStyle="1" w:styleId="8">
    <w:name w:val="font11"/>
    <w:basedOn w:val="5"/>
    <w:qFormat/>
    <w:uiPriority w:val="0"/>
    <w:rPr>
      <w:rFonts w:hint="default" w:ascii="Nimbus Roman No9 L" w:hAnsi="Nimbus Roman No9 L" w:eastAsia="Nimbus Roman No9 L" w:cs="Nimbus Roman No9 L"/>
      <w:color w:val="000000"/>
      <w:sz w:val="22"/>
      <w:szCs w:val="22"/>
      <w:u w:val="none"/>
    </w:rPr>
  </w:style>
  <w:style w:type="character" w:customStyle="1" w:styleId="9">
    <w:name w:val="font71"/>
    <w:basedOn w:val="5"/>
    <w:qFormat/>
    <w:uiPriority w:val="0"/>
    <w:rPr>
      <w:rFonts w:hint="eastAsia" w:ascii="仿宋_GB2312" w:eastAsia="仿宋_GB2312" w:cs="仿宋_GB2312"/>
      <w:strike/>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1995</Words>
  <Characters>2100</Characters>
  <Lines>0</Lines>
  <Paragraphs>0</Paragraphs>
  <TotalTime>85</TotalTime>
  <ScaleCrop>false</ScaleCrop>
  <LinksUpToDate>false</LinksUpToDate>
  <CharactersWithSpaces>2101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2025-01-07T04:48:00Z</dcterms:created>
  <dc:creator>폐기물.</dc:creator>
  <cp:lastModifiedBy>폐기물.</cp:lastModifiedBy>
  <dcterms:modified xsi:type="dcterms:W3CDTF">2025-10-16T11:21:38Z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E014AAB437704266845CB7740F26A52B_13</vt:lpwstr>
  </property>
  <property fmtid="{D5CDD505-2E9C-101B-9397-08002B2CF9AE}" pid="4" name="KSOTemplateDocerSaveRecord">
    <vt:lpwstr>eyJoZGlkIjoiMzEwNTM5NzYwMDRjMzkwZTVkZjY2ODkwMGIxNGU0OTUiLCJ1c2VySWQiOiI0Njc4Mzc5MTQifQ==</vt:lpwstr>
  </property>
</Properties>
</file>